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льтаты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Федерального казначейства и его территориальных органов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контролю (надзору) в сфере противодействия легализации (отмыванию) доходов,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полученных преступным путем,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экстремистской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финансированию терроризма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финансированию распространения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оружия массового уничтожения за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459" w:type="dxa"/>
        <w:tblInd w:w="-14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7796"/>
        <w:gridCol w:w="184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нарушения требований законодательства Российской Федерации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противодействии легализации (отмыванию) доходов, полученных преступным путем, финансированию терроризма, экстремистской деятельности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финансированию распространения оружия массового уничтожения (требования законодательства)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Примеры нарушений и разъяснения требований законодательства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аудиторских организаций, допустивших указанные нарушения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Правил внутреннего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целях предотвращения легализации (отмыванию) доходов, полученных преступным путем, финансированию терроризма, экстремистской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финансированию распространения оружия массового уничтожения (далее – Правила внутреннего контроля) требованиям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 статьи 7 Федерального закона от 7 августа 2001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115-ФЗ «О противодействии легализации (отмыванию) доходов, полученных преступным путем,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финансированию терроризма» (далее – Федеральный закон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115-ФЗ) лица, указанные в статье 7.1 настоящего Федерального закона, обязаны в целях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противодействия легализации (отмыванию) доходов, полученных преступным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путем, финансированию терроризма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экстремистской деятельности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финансированию распространения оружия массового уничтожения (далее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ФРОМУ) разрабатывать Правила внутреннего контроля, назначать специальных должностных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лиц, ответственных за реализацию Правил внутреннего контроля (далее – СДЛ), а также принимать иные внутренние организационные меры в указанных целях. Требования к Правилам внутреннего контроля установлены постановлением Правительства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14 июля 2021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(действовали с 13 января 2022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15 августа 2025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– Требования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ПВК № 1188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пунктом 2 указанного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Правила внутренн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должны быть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реализованы в случае осуществления операций с денежными средствами или иным имуществом, установленных пунктом 1 статьи 7.1 Федерального закона.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реализованы правила внутреннего контроля.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3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внутреннего контроля должны приводит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ься аудиторскими организациями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соответствие с требовани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ями нормативных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ФРОМУ не позднее одного месяца со дня вступления в силу указанных нормативных правовых актов, если иное не установлено такими нормативными правовыми актами, непосредственно относящимися к указанным лицам.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обеспечена актуализация Правил внутреннего контроля в течение одного месяца со дня вступления в силу нормативных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ФРОМУ, с учетом изменений, внесенных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указанные нормативные правовые акты.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4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ПВК № 1188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соответствием применяемых Правил внутреннего контроля требованиям законодательства Российской Федерации обеспечивают: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непосредственно адвокаты, нотариусы, доверительные собственники (управляющие) иностранной 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образования юридического лица и лица, осуществляющие функции единоличного исполнительного органа международного личного фонда;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руководители организаций, оказывающих юридические или бухгалтерские услуги;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индивидуальные предприниматели, оказывающие юридические или бухгалтерские услуги;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руководители аудиторских организаций;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индивидуальные аудиторы.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аудиторской организации не обеспечил надлежащий контроль за соответствием применяемых Правил внутреннего контроля требованиям законодательства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6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внутреннего контроля, оформленные на бумажном носителе, заверяются подписью руководителя аудиторской организации.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надлежащее оформление на бумажном носителе Правил внутреннего контроля, Правила внутреннего контроля не заверены подписью руководителя аудиторской организации.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подпунктам «в», «з», «и» пункта 7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внутреннего контроля должны содержать программу изучения клиента, программу проверки системы внутреннего контроля, программу хранения информации и документов, полученных в результате реализации обязанностей по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ФРОМУ.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 внутреннего контроля, разработанные аудиторской организацией, не содержат программу изучения клиента, программу проверки системы внутреннего контроля, программу хранения информации и документов, полученных в результате реализации обязанностей по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ФРОМУ.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указанных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организации системы внутреннего контроля Правил внутреннего контроля должна включать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назначения СДЛ, порядок возложения обязанностей СДЛ на другое лицо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отсутствия СДЛ (отпуск, временная нетрудоспособность, служебная командировка), полномочия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обязанности, возлагаемые на СДЛ, а также описание системы внутреннего контроля и порядок внесения изменения в данные правила.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информации о порядке назначения СДЛ, описания его полномочий и обязанностей, информации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возложения обязанностей СДЛ на другое лицо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отсутствия СДЛ.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9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рограмма идентификации Правил внутреннего контроля должна включать: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в отношении клиента, представителя клиента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(или) выгодоприобретателя сведений, определенных статьей 7 Федерального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 115-ФЗ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 подтверждение достоверности этих сведений до приема на обслуживание клиента;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принятия мер по выявлению и идентификации бенефициарных владельцев, в том числе мер по установлению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указанных владельцев сведений, предусмотренных подпунктом 1 пункта 1 статьи 7 Федерального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 115-ФЗ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 подтверждения достоверности полученных сведений;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проверку наличия или отсутствия в отношении клиента, представителя клиента и (или) выгодоприобретателя, а также бенефициарного владельца сведений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различных перечнях;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принадлежности физического лица, находящегося на обслуживании или принимаемого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обслуживание, к числу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публичных должностных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выявления находящихся на обслуживании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упругов, близких родственников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иностранных публичных должностных лиц, должностных лиц публичных международных организаций и российских публичных должностных лиц;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оценку степени (уровня) риска и отнесение клиента к одной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групп риска в соответствии с программой оценки степени (уровня) риска и принятия мер по снижению рисков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положений об установлении в отношении клиента, представителя клиента и (или) выгодоприобретателя сведений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объеме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указанном в статье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115-ФЗ, и подтверждении достоверности этих сведений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приема на обслуживание клиента; о порядке принятия 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выявлению и идентификации бенефициарных владельцев,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мер по установлению в отношении указанных владельцев сведений, предусмотренных подпунктом 1 пункта 1 статьи 7 Федерального закона № 115-ФЗ, и подтверждения 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товерности полученных сведений; о проверке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наличия или отсутствия в отношении клиента, представителя клиента и (или) выгодоприобретателя, а также бенефициарного владельца сведений в различных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ечнях; об определении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принадлежности физического лица, находящегося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обслуживании или принимаемого на обслуживание, к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ислу публичных должностных лиц; о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выявления находящихся на обслуживании супругов, близких родственников, иностранных публичных должностных лиц, должностных лиц публичных международных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россий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ских публичных должностных лиц; об оценке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 (уровня) риска и отнесение клиента к одной из групп риска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программой оценки степени (уровня) риска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принятия мер по снижению рисков.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10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идентификации Правил внутреннего 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включает определение порядка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способов документального фиксирования сведений (информации) получаемых в результате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идентификации клиентов, представителей клиентов, выгодоприобретателей и бенефициарных владельцев.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положений об определении порядка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способа документального фиксирования сведений (информации), получаемых аудиторской организацией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идентификации клиентов, представителей клиентов, выгодоприобретателей и бенефициарных владельцев.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11 указанных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изучения клиента Правил внутреннего контроля предусматривает проведение мероприятий, направленных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получен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информации о клиенте, указанной в подпункте 1.1 пункта 1 статьи 7 Федерального закона № 115-ФЗ. При этом под определением деловой репутации клиента, предусмотренной указанным подпунктом, понимается его оценка, основывающаяся на общедоступной информации.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предусмотрено в Правилах внутреннего контроля проведение мероприятий, направленных на получение информации о клиенте, указанной в подпункте 1.1 пункта 1 статьи 7 Федерального закона № 115-ФЗ.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12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программе изучения клиента Правил внутреннего контроля определяются способы и формы документального фиксирования сведений (информации), получаемых в результате изучения клиента.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определены в Правилах внутреннего контроля способы и формы документального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фиксирования сведений (информации), получаемых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изучения клиента.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13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внутреннего контроля должны включать методики оценки степени (уровня) риска клиента, порядок и сроки пересмотра группы риска, к которой отнесен клиент, порядка применения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клиента мер, направленных на противодействие ОД/ФТ, порядка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рисками, порядка документального фиксирования результатов оценки рисков и управления рисками, а также порядка оценки возможности использования новых услуг и (или) программно-технических средств в целях ОД/ФТ, включая разработку комплекса мер, направленных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снижение (минимизацию) такой возможности.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ики оценки степени (уровня) риска клиента, порядок и сроки пересмотра группы риска, к которой отнесен клиент, порядка применения в отношении клиента мер, направленных на противодействие ОД/ФТ, порядка управления рисками, порядка документального фиксировани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результатов оценки рисков и управления рисками, а также порядка оценки возможности использования новых услуг и (или) программно-технических средств в целях ОД/ФТ, включая разработку комплекса мер, направленных на снижение (минимизацию) такой возможности.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подпунктам «а», «б» пункта 15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рисков программы внутреннего контроля должна осуществляться по одной или по совокупности следующих категорий рисков: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риски, связанные со странами и отдельными географическими территориями;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риски, связанные с клиентами.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 предусмотрена оценка рисков клиента по одной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совокупности следующих категорий рисков: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риски, связанные со странами и отдельными географическими территориями;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риски, связанные с клиентами.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17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оценке рисков должно проводиться отнесение клиентов к высокой, средней или низкой степени (уровню) риска.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 предусмотрено отнесение клиентов к высокой, средней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низкой степени (уровню) риска совершения клиентом подозрительных операций.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подпунктам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«д»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пункта 18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оценке рисков должны учитываться рекомендации Федеральной службы по финансовому мониторингу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характер и виды деятельности клиентов, а также характер используемых клиентами услуг, предоставляемых аудиторскими организациями.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не установлено, что при оценке рисков учитываются рекомендации Федеральной службы по финансовому мониторингу, кроме того, программа оценки рисков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содержит положение о том, что при оценке рисков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учитываются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 и виды деятельности клиентов, а также характер используемых клиентами услуг, предоставляемых аудиторскими организациями.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ункту 20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внутреннего контроля должны предусматривать осуществление постоянного мониторинга группы риска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клиентов, принятых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обслуживание, предполагающее длящийся характер отношений, посредством оценки факторов,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которых осуществлялась оценка степени (уровня) риска.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Аудиторская организация в Правилах внутреннего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предусмотрено осуществление постоянного мониторинга группы риска в отношении клиентов, принятых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обслуживание, предполагающее длящийся характер отношений, посредством оценки факторов, на основании которых осуществлялась оценка степени (уровня) риска.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21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внутреннего контроля должны предусматривать 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пересмотре группы риска, которое осуществляется при выявлении факторов, на основании которых оценивается степень (уровень) риска.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положения, предусматривающего решение о пересмотре группы риска, которое осуществляется при выявлении факторов, на основании которых оценивается степень (уровень) риска.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подпункту «а» пункта 22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Правилах внутреннего контроля управление рисками должно реализов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аться посредством осуществления действ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по снижению рисков в рамках мер, предусмотренных законодательством Российской Федерации, включающих в том числе запрос дополнительных сведений о клиенте, представителе клиента, выгодоприобретателе, бенефициарном владельце в рамках идентификации клиента.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не предусмо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трена реализация управления рисками посредством осуществления действий по снижению рисков в рамках мер, включающих запрос дополнительных сведений о клиенте, представителе клиента, выгодоприобретателе, бенефициарном владельце в рамках идентификации клиента.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подпункту «б» пункта 23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внутреннего контроля должны предусматривать программу выявления операций, которая включает процедуры выявления операций (сделок), подлежащих документальному фиксированию 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пунктом 2 статьи 7 Федерального закона № 115-ФЗ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указанным в нем основаниям.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ацией в программе выявления операций Правил внутреннего контроля не предусмотрены процедуры выявления операций (сделок), подлежащих документальному фиксированию в соответствии с пунктом 2 статьи 7 Федерального закона № 115-ФЗ по указанным в нем основаниям.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огласно пункту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пункту 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указанных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внутреннего контроля должны включать осуществление мониторинга операций (сделок) аудируемого лица в целях выявления сделок и финансовых операций, в том числе подпадающих под признаки, указывающие на необычный характер операций (сделок)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предусматривать изучение оснований и целей совершения таких операций (сделок).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предусмотрено осуществление мониторинга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изучения оснований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операций (сделок) аудируемого лица в целях выявления сдел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и финансовых операций, в том числе подпадающих под признаки, указывающие на необычный характер операций (сделок), осуществление которых может быть направлено на легализацию (отмывание) доходов, полученных преступным путем, или финансирование терроризма.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пункту 25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выявления операций Правил внутреннего контроля должна предусматривать обеспечение повышенного внимания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операциям (сделкам) клиентов, отнесенных к группе высокой степени (уровня) риска.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повышенного внимания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операциям (сделкам) клиентов, отнесенных к группе высокой степени (уровня) риска.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  <w:tab w:val="left" w:pos="542" w:leader="none"/>
                <w:tab w:val="left" w:pos="64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26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выявления операций Правил внутреннего контроля должна включать признаки необычных операций (сделок), утвержденных Федеральной службой по финансовому мониторингу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  <w:tab w:val="left" w:pos="542" w:leader="none"/>
                <w:tab w:val="left" w:pos="645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  <w:tab w:val="left" w:pos="542" w:leader="none"/>
                <w:tab w:val="left" w:pos="64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признаков необычных операций (сделок), утвержденных Федеральной службой по финансовому мониторингу.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  <w:tab w:val="left" w:pos="542" w:leader="none"/>
                <w:tab w:val="left" w:pos="64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27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выявления операций Правил внутреннего контроля должна предусматривать документальную фиксацию выявления операции (сделки), имеющей признаки необычных операций (сделок), путем составления внутреннего сообщения либо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случаях, определенных в правилах внутреннего контроля,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составе иного документа.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предусмотрено в Правилах внутреннего контроля обеспечение документального фиксирования выявленных операций (сделок), имеющих признаки необычных операций (сделок), путем составления внутреннего сообщения.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внутреннего контроля должны содержать форму внутреннего сообщения.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формы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внутреннего сообщения.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31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выявления операций Правил внутреннего контроля должна содержать порядок действий СДЛ, ответственного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реализацию правил внутреннего контроля, при получении внутреннего сообщения, а также порядок и сроки передачи специальным должностным лицом внутреннего сообщения руководителю организации.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не установлен порядок действий специального должностно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лица, ответственного за реализацию правил внутреннего контроля, при получении внутреннего сообщения, а также порядок и сроки передачи специальным должностным лицом внутреннего сообщения руководителю аудиторской организации или иному уполномоченному лицу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33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выявления операций Правил внутреннего контроля должн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включать порядок и случаи принятия дополнительных 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изучению 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ераций(сделок), имеющих признаки ОД/ФТ, заключающихся в получении от клиента объяснений и (или) дополнительных сведений, разъясняющих экономический смысл операции (сделки), а также обеспечении повышенного внимания ко всем операциям (сделкам) этого клиента.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не предусмотрен порядок и случаи принятия дополнительных мер по изучению операций (сделок), имеющих признаки ОД/ФТ, в виде получения от клиента необходимых объяснений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(или) дополнительных сведений, разъясняющих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экономический смысл операции (сделки), и обеспечения повышенного внимания ко всем операциям (сделкам) этого клиента.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35 указанных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выявления операций Правил внутреннего контроля должна предусматривать порядок информирования Федеральной службы по финансовому мониторингу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операциях (сделках)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не предусмотрен порядок информирования Федеральной службы по финансовому мониторингу об операциях (сделках)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Согласно пункту 39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программа проверки системы внутреннего контроля должна обеспечивать контроль за соблюдением законодательства Российской Федерации о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ФРОМУ, Правил внутреннего контроля и иных внутренних организационно-распорядительных документов в целях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ФРОМУ.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Аудиторской организацией не обеспечивается контроль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соблюдением законодательства Российской Федерации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ФРОМУ и Правил внутреннего контроля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ФРОМУ.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подпунктам «б» и «в» пункта 40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Правилах внутреннего контроля должны содержаться форма отчета по результатам внутренних проверок, сведения об устранении выявленных нарушений (при наличии нарушений), а также информация о принятии мер,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направленных на устранение выявленных по результатам проверок нарушений.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Правила внутреннего контроля форм отчета по результатам внутренних проверок, сведений об устранении выявленных нарушений (при наличии нарушений), а также информации о принятии мер, направленных на устранение выявленных по результатам проверок нарушений.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43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внутреннего контроля должны включать порядок использование информации об оценке рисков неисполнения требований законодательства о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ФРОМУ, доводимой Федеральной службой по финансовому мониторингу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не предусмотрено использование информации об оценке рисков неисполнения требований 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ФРОМУ, доводимой Федеральной службой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финансовому мониторингу.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44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ПВК № 1188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Правила внутреннего контроля должна быть включена программа хранения информации, которая обеспечивает хранение не менее 5 лет со дня прекращения отношений с клиентом: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документов, содержащих све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дения о клиенте, представителе клиента, выгодоприобретателе и бенефициарном владельце, полученных на основании Федерального № 115-ФЗ, иных принятых в целях его исполнения нормативных правовых актов Российской Федерации, а также правил внутреннего контроля;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документов, касающихся сделок и финансовых операций, сведения о которых представлялись в Федеральную службу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финансовому мониторингу, и сообщений о таких сделках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финансовых операциях;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документов, касающихся операций, подлежащих документальному фиксированию в соответствии со статьей 7 Федерального закона № 115-ФЗ и Требованиями;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иных документов, полученных в результате применения правил внутреннего контроля.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не предусмотрена программа хранения информации, заключающаяся в хранении: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документов, содержащих све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дения о клиенте, представителе клиента, выгодоприобретателе и бенефициарном владельце, полученных на основании Федерального № 115-ФЗ, иных принятых в целях его исполнения нормативных правовых актов Российской Федерации, а также правил внутреннего контроля;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документов, касающихся сделок и финансовых операций, сведения о которых представлялись в Федеральную службу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финансовому мониторингу, и сообщений о таких сделках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финансовых операциях;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документов, касающихся операций, подлежащих документальному фиксированию в соответствии со статьей 7 Федерального закона № 115-ФЗ и Требованиями;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иных документов, полученных в результате применения правил внутреннего контроля.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45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внутреннего контроля должны обеспечивать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конфиденциальность информации, полученной в результате их применения, а также осуществление мер, принимаемых аудиторской организацией, при реализации таких правил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законодательством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Аудиторская организация не обеспечила включение в Правила внутреннего конт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роля описание конфиденциальной информации, полученной в результате применения Правил внутреннего контроля, а также осуществление мер, принимаемых аудиторской организацией, при реализации таких правил в соответствии с законодательством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Правилам внутреннего контроля, установленные постановлением Правительства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8 августа 2025 г. № 1180 (действуют с 16 августа 2025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(далее – Требования к ПВК № 1180):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 Требований к ПВК № 1180 аудиторские организации должны разрабатывать и реализовывать правила внутреннего контроля в случае подготовки и осуществления операций.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реализованы правила внутреннего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4 Требований к ПВК № 1180 контроль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соответствием применяемых Правил внутреннего контроля требованиям законодательства Российской Федерации обеспечивают: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непосредственно адвокаты, нотариусы, доверительные собственники (управляющие) иностранной 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образования юридического лица и лица, осуществляющие функции единоличного исполнительного органа международного личного фонда;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руководители организаций, оказывающих юридические или бухгалтерские услуги;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индивидуальные предприниматели, оказывающие юридические или бухгалтерские услуги;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руководители аудиторских организаций;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индивидуальные аудиторы.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аудиторской организации не обеспечил надлежащий контроль за соответствием применяемых Правил внутреннего контроля требованиям законодательства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9 указанных Требований к ПВК № 1180 программа, определяющая организационные основы внутреннего контроля, должна включать порядок назначения СДЛ, порядок возложения обязанностей СДЛ на другое лицо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отсутствия СДЛ (отпуск, временная нетрудоспособность, служебная командировка), полномочия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обязанности, возлагаемые на СДЛ, описание системы внутреннего контроля, а также полномочия и обязанности структурного подразделения, выполняющего функции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ПОД/ФТ/ЭД/ФРОМУ.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информации о порядке назначения СДЛ, описания его полномочий и обязанностей, информации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порядке возложения обязанностей СДЛ на другое лицо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отсутствия СДЛ, а также о полномочиях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обязанностях структурного подразделения, выполняющего функции в области ПОД/ФТ/ЭД/ФРОМУ.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10 Требований к ПВК № 1180 программа идентификации Правил внутреннего контроля должна включать: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установление в отношении клиента, представителя клиента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(или) выгодоприобретателя сведений, определенных подпунктом 1 пункта 1 статьи 7 Федерального закона № 115-ФЗ, и подтверждение достоверности этих сведений до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обслуживание клиента;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порядок принятия мер по выявлению и идентификации бенефициарных владельцев, в том числе мер по установлению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указанных владельцев сведений, предусмотренных подпунктом 1 пункта 1 статьи 7 Федерального закона № 115-ФЗ, и подтверждения достоверности полученных сведений;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проверку наличия или отсутствия в отношении клиента, представителя клиента и (или) выгодоприобретателя, а также бенефициарного владельца сведений в различных перечнях;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определение принадлежности физического лица, находящегося на обслуживании или принимаемого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обслуживание, к числу публичных должностных лиц;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порядок выявления находящихся на обслуживании супругов, близких родственников, иностранных публичных должностных лиц, должностных лиц публичных международных организаций и российских публичных должностных лиц;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оценку степени (уровня) риска и отнесение клиента к одной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групп риска в соответствии с программой оценки степени (уровня) риска и принятия мер по снижению рисков.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положений об установлении в отношении клиента,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редставителя клиента и (или) выгодоприобретателя сведений в объеме, указанном в подпункте 1 пункта 1 статьи 7  Федерального закона № 115-ФЗ, и подтверждении достоверности этих сведений до приема на обслуживание клиента; о порядке принятия мер по выявлению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идентификации бенефициарных владельцев, в том числе мер по установлению в отношении указанных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владельцев сведений, предусмотренных подпунктом 1 пункта 1 статьи 7 Федерального закона № 115-ФЗ, и подтверждения достоверности полученных сведений; о проверке наличия или отсутствия в отношении клиента, представителя клиента и (или) выгодоприобретателя,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также бенефициарного владельца сведений в различных перечнях; об определении принадлежности физического лица, находящегося на обслуживании или принимаемого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обслуживание, к числу публичных должностных лиц;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выявления находящихся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обслуживании супругов, близких родственников, иностранных публичных должностных лиц, должностных лиц публичных международных организаций и российских публичных должностных лиц; об оценке степени (уровня) риска и отнесение клиента к одной из групп риска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программой оценки степени (уровня) риска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принятия мер по снижению рисков.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11 Требований к ПВК № 1180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программе идентификации Правил внутреннего контроля идентификации определяются способы и формы документального фиксирования сведений (информации),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получаемых в результате идентификации клиентов, представителей клиентов, выгодоприобретателей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бенефициарных владельцев.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положений об определении способов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форм документального фиксирования сведений (информации), получаемых аудиторской организацией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идентификации клиентов, представителей клиентов, выгодоприобретателей и бенефициарных владельцев.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12 указанных Требований к ПВК № 1180 Программа изучения клиента Правил внутреннего контроля предусматривает проведение мероприятий, направленных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получен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информации о клиенте, указанной в подпункте 1.1 пункта 1 статьи 7 Федерального закона № 115-ФЗ. При этом под определением деловой репутации клиента, предусмотренной указанным подпунктом, понимается его оценка, основывающаяся на общедоступной информации.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предусмотрено в Правилах внутреннего контроля проведение мероприятий, направленных на получение информации о клиенте, указанной в подпункте 1.1 пункта 1 статьи 7 Федерального закона № 115-ФЗ.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16 Требований к ПВК № 1180 Правила внутреннего контроля должны включать методики оценки степени (уровня) риска клиента, порядок и сроки пересмотра группы риска, к которой отнесен клиент, порядка применения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отношении клиента мер, направленных на противодействие ОД/ФТ, порядка управления рисками, порядка документального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фиксирования результатов оценки рисков и управления рисками, а также порядка оценки возможности использования новых услуг и (или) программно-технических средств в целях ОД/ФТ, включая разработку комплекса мер, направленных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снижение (минимизацию) такой возможности.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ики оценки степени (уровня) риска клиента, порядок и сроки пересмотра группы риска, к которой отнесен клиент, порядка применения в отношении клиента мер, направленных на противодействие ОД/ФТ, порядка управления рисками, порядка документального фиксировани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результатов оценки рисков и управления рисками, а также порядка оценки возможности использования новых услуг и (или) программно-технических средств в целях ОД/ФТ, включая разработку комплекса мер, направленных на снижение (минимизацию) такой возможности.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 Требований к ПВК № 1180 при оценке рисков должны учитываться результаты национальной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секторальной оценки рисков, характер и виды деятельности клиентов, рекомендации Федеральной службы по финансовому мониторингу, характер и виды деятельности клиентов, а также характер используемых клиентами услуг, предоставляемых аудиторскими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типологии ОД/ФТ, размещенные в том числе на официальных сайтах международных организаций, занимающихся вопросами ПОД/ФТ, а также признаки операций, видов и условий деятельности, имеющих повышенные риски совершения клиентами операций и сделок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целях ОД/ФТ, с учетом рекомендаций Группы разработки финансовых мер борьбы с отмыванием денег (ФАТФ)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не установлено, что при оценке рисков учитываются рекомендации Федеральной службы по финансовому мониторингу, кроме того, программа оценки рисков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 содержит положение о том, что при оценке рисков учитываются характер и виды деятельности клиентов, а также характер используемых клиентами услуг, предоставляемых аудиторскими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также типологии ОД/ФТ, размещенные в том числе на официальных сайтах международных организаций, занимающихся вопросами ПОД/ФТ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28 Требований к ПВК № 1180 Программа выявления операций Правил внутреннего контроля должна предусматривать обеспечение повышенного внимания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операциям (сделкам) клиентов, отнесенных к группе высокой степени (уровня) риска.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предусмотрено в Правилах внутреннего контроля обеспечение повышенного внимания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операциям (сделкам) клиентов, отнесенных к группе высокой степени (уровня) риска.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подпункту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пункта 31 Требований к ПВК № 1180 аудиторские организации самостоятельно разрабатывают форму внутреннего сообщения в правилах внутреннего контроля, которая включает в себя сведения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клиенте, проводящем операцию (основные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идентификационные данные, выводы по результатам изучения клиента, выводы по результатам оценки степени (уровня) риска).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внутреннего сообщения в правилах внутреннего контроля, разработанная аудиторской организацией,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включает в себя сведения о клиенте, проводящем операцию (основные идентификационные данные, выводы по результатам изучения клиента, выводы по результатам оценки степени (уровня) риска).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35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выявления операций Правил внутреннего контроля должна содержать порядок действий СДЛ, ответственного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реализацию правил внутреннего контроля, при получении внутреннего сообщения, а также порядок и сроки передачи специальным должностным лицом внутреннего сообщения руководителю организации.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не установлен порядок действий специального должностно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лица, ответственного за реализацию правил внутреннего контроля, при получении внутреннего сообщения, а также порядок и сроки передачи специальным должностным лицом внутреннего сообщения руководителю аудиторской организации или иному уполномоченному лицу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36 Требований к ПВК № 1180 Программа выявления операций Правил внутреннего контроля должна предусматривать изучение оснований и целей совершения всех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выявляемых операций, имеющих признаки необычных операций.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не предусмотрено изучение оснований и целей совершения всех выявляемых операций, имеющих признаки необычных операций.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39 Требований к ПВК № 1180 Программа выявления операций Правил внутреннего контроля должна предусматривать порядок уведомления Федеральной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финансовому мониторингу об операциях, указанных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пунктах 2 и 2.1 статьи 7.1 Федерального закона.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не предусмотрен порядок уведомления Федеральной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финансовому мониторингу об операциях, указанных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пунктах 2 и 2.1 статьи 7.1 Федерального закона.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43 Требований к ПВК № 1180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проверки системы внутреннего контроля должна обеспечивать контроль за соблюдением законодательства Российской Федерации о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ФРОМУ, Правил внутреннего контроля и иных внутренних организационно-распорядительных документов в целях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ФРОМУ.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Аудиторской организацией не обеспечивается контроль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соблюдением законодательства Российской Федерации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ФРОМУ и Правил внутреннего контроля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ФРОМУ.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подпункту «б» пункта 44 Требований к ПВК № 1180 программа проверки системы внутреннего контроля должна предусматривать форму отчета, содержащую сведения обо всех выявленных нарушениях законодательства Российской Федерации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ФРОМУ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правил внутреннего контроля и иных организационно-распорядительных документов, а также сведений об устранении выявленных нарушений (при наличии нарушений)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форм отчета по результатам внутренних проверок.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47. Согласно пункту 11 Приказа Росфинмониторинга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от 8 февраля 2022 г. № 18 «Об утверждении Осо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бенностей представления в Федеральную службу по финансовому мониторингу информации, предусмотренной Федеральным законом от 7 августа 2001 г. N 115-ФЗ «О противодействии легализации (отмыванию) доходов, полученных преступным путем, и финансированию террориз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ма» (далее – Особенности) аудиторские организации должны использовать перечень признаков, указывающих на необычный характер операций (сделок), приведенный Особенностями, и описание кодов данных признаков, размещенное на официальном сайте Росфинмониторинга.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перечня признаков, указывающих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на необычный характер операций (сделок).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Вышеуказанное свидетельствует о несоблюдении аудиторскими организациями требований 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ФРОМУ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разработке и утверждении Правил внутреннего контроля.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701"/>
              <w:ind w:left="0"/>
              <w:jc w:val="center"/>
              <w:spacing w:after="0" w:line="240" w:lineRule="auto"/>
              <w:tabs>
                <w:tab w:val="left" w:pos="36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Правил внутреннего контроля, ненадлежащее выполнение процедур, предусмотренных Правилами внутреннего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 статьи 7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115-ФЗ лица, указанные в статье 7.1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115-ФЗ, обязаны в целях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ФРОМУ разрабатывать Правила внутреннего контроля, назначать СДЛ, а также принимать иные внутренние организационные меры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указанных целях.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5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ПВК № 1180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внутреннего контроля являются документом, регламентирующим организационные основы работы, направленной на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ФРОМУ и устанавливающим порядок и сроки осуществления действий аудиторских организаций при реализации обязанностей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ФРОМУ.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Выявленные факты несоблюдения аудиторскими организациями положений, установленных Правилами внутреннего контроля: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4"/>
              </w:numPr>
              <w:ind w:left="0" w:firstLine="0"/>
              <w:jc w:val="both"/>
              <w:tabs>
                <w:tab w:val="left" w:pos="312" w:leader="none"/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идентификации клиентов, представителей клиентов и бенефициарных владельцев в рамках принятия клиентов на обслуживание аудиторской организацией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обеспечено оформление рабочих документов, указанных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Правилах внутреннего контроля аудиторской организации;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4"/>
              </w:numPr>
              <w:ind w:left="0" w:firstLine="0"/>
              <w:jc w:val="both"/>
              <w:tabs>
                <w:tab w:val="left" w:pos="312" w:leader="none"/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рамках принятия клиентов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обслуживание не обеспечено внесение в рабочие документы сведений о клиенте, представителе клиента и бенефициарном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владельце в объеме, установленном Правилами внутреннего контроля аудиторской организации;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4"/>
              </w:numPr>
              <w:ind w:left="0" w:firstLine="0"/>
              <w:jc w:val="both"/>
              <w:spacing w:after="0" w:line="240" w:lineRule="auto"/>
              <w:tabs>
                <w:tab w:val="left" w:pos="312" w:leader="none"/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рамках принятия клиентов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обслуживание не обеспечено использование функционала личного кабинета на сайте Федеральной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финансовому мониторингу для проверки наличия сведений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клиентах в размещаемых Перечнях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физических лиц, в отношении которых имеются сведения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их причастности к экстремистской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терроризму;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4"/>
              </w:numPr>
              <w:ind w:left="0" w:firstLine="0"/>
              <w:jc w:val="both"/>
              <w:spacing w:after="0" w:line="240" w:lineRule="auto"/>
              <w:tabs>
                <w:tab w:val="left" w:pos="312" w:leader="none"/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при принятии клиентов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обслуживание не обеспечено надлежащее подтверждение достоверности сведений, полученных при идентификации кли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ентов, представителей клиентов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бенефициарных владельцев;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4"/>
              </w:numPr>
              <w:ind w:left="0" w:firstLine="0"/>
              <w:jc w:val="both"/>
              <w:spacing w:after="0" w:line="240" w:lineRule="auto"/>
              <w:tabs>
                <w:tab w:val="left" w:pos="312" w:leader="none"/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проведение СДЛ проверок выполнения Правил внутреннего контроля, требований Федерального </w:t>
            </w:r>
            <w:hyperlink r:id="rId11" w:tooltip="https://login.consultant.ru/link/?req=doc&amp;base=LAW&amp;n=451784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закона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115-ФЗ и иных нормативных правовых актов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ФРОМУ;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4"/>
              </w:numPr>
              <w:ind w:left="0" w:firstLine="0"/>
              <w:jc w:val="both"/>
              <w:spacing w:after="0" w:line="240" w:lineRule="auto"/>
              <w:tabs>
                <w:tab w:val="left" w:pos="312" w:leader="none"/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целях выявления необычных операций (сделок)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деятельности аудируемого лица аудиторской организацией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обеспечено осуществление уполномоченными сотрудниками аудиторской организации мониторинга операций (сделок) аудируемого лица и использование перечня признаков необычных операций (сделок), приведенного в Правилах внутреннего контроля;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numPr>
                <w:ilvl w:val="0"/>
                <w:numId w:val="4"/>
              </w:numPr>
              <w:ind w:left="0" w:firstLine="0"/>
              <w:jc w:val="both"/>
              <w:spacing w:after="0" w:line="240" w:lineRule="auto"/>
              <w:tabs>
                <w:tab w:val="left" w:pos="312" w:leader="none"/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документальное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фиксирование операций, имеющих признаки необычных операций (сделок) путем оформления внутренних сообщений.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1"/>
              <w:ind w:left="0"/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Вышеуказанное свидетельствует о нарушении аудиторскими организациями требований законодательства в части принятия внутренних организационных мер в целях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квалификационных требований, предъявляемых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СДЛ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пунктами 1 и 2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Правительства Российской Федерации от 29 мая 2014 г. № 492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СДЛ аудиторских организаций предъявляются квалификационные требования в части прохождения обучения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целях ПОД/ФТ.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соблюдение квалификационных требований, предъявляемых к СДЛ: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прохождение СДЛ обучения в целях ПОД/ФТ и соответствие СДЛ квалификационным требованиям.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0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Вышеуказанное свидетельствует о нарушении аудиторскими организациями требований, установленных законодательством о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ФРОМУ, в части обеспечения прохождения обучения СДЛ.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требований 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уведомлению Федеральной службы по финансовому мониторингу о возникновении любых оснований полагать,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сделки или финансовые операции аудируемого лица могли или могут быть осуществлены в целях ОД/ФТ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2.1 статьи 7.1 Федерального закона № 115-ФЗ, пункту 3 постановления Правительства Российской Федерации от 9 апреля 2021 г. 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569 (действовал до 21 февраля 2025 г.), пункту 4 постановления Правительства Российской Федерации от 11 февраля 2025 г. № 131 (действует с 22 февраля 2025 г.) аудиторские организации при оказании аудиторских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 при наличии любых оснований полагать, что сделки или финансовые операции аудируемого лица могли или могут быть осуществлены в целях ОД/ФТ обязаны уведомить об этом уполномоченный орган в установленном порядке.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обеспечено соблюдение требований законодательства по уведомлению Федеральной службы по финансовому мониторингу о возникновении любых оснований полагать, что сделки или финансовые операции аудируемого лица могли или могут быть осуществлены в целях ОД/ФТ.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Согласно пункту 4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постановления Правительства Российской Федерации от 9 апреля 2021 г. № 569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аудиторские организации при наличии любых оснований полаг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ать, что сделки или финансовые операции аудируемого лица могли или могут быть осуществлены в целях ОД/ФТ обязаны уведомить об этом уполномоченный орган в течение трех рабочих дней, следующих за днем выявления соответствующей сделки или финансовой операции.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Аудиторской организацией не обеспечено соблюдение сроков направления формализованного электронного сообщения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в Федеральную службу по финансовому мониторингу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не позднее трех рабочих дней, следующих за днем выявления соответствующей сделки или финансовой операции.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Согласно пункту 6 Особенностей аудиторские организации представляют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Росфинмониторинг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информацию о наличии любых оснований полагать, что сделки или финансовые операции аудируемого лица могли или могут быть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осуществлены в целях ОД/ФТ - в течение 3 рабочих дней, следующих за днем выявления указанной сделки или финансовой операции.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Аудиторской организацией не соблюдены требования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предоставлении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Росфинмониторинг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информации о наличии любых оснований полагать, что сделки или финансовые операции аудируемого лица могли или могут быть осуществлены в целях ОД/ФТ - в течение 3 рабочих дней, следующих за днем выявления указанной сделки или финансовой операции.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21 Особенностей аудиторские организации в случае получения квитанции о непринятии формализованного электронного сообщения (далее – ФЭС) должны принять меры по устранению причин непринятия ФЭС, указанных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квитанции о непринятии ФЭС, повторно сформировать ФЭС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не позднее 3 рабочих дней, следующих за днем размещения квитанции о непринятии ФЭС в личном кабинете, направить повторно сформированное ФЭС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Росфинмониторинг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установленном порядке.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соблюдены установленные требования по устранению причин непринятия ФЭС, указанных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квитанции о непринятии ФЭС, и в случае получения квитанции о непринятии ФЭС – по повторному формированию ФЭС, и не позднее 3 рабочих дней, следующих за днем размещения квитанции о непринятии ФЭС в личном кабинете, направлению повторно сформированного ФЭС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Росфинмониторинг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установленном порядке.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26 Особенностей аудиторские организации должны применять изменения в описании структур наименования, служебной и информационной частей ФЭС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описании кодов признаков, указывающих на необычный характер операций (сде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лок), по истечении не менее 10 календарных дней со дня их размещения на официальном сайте Росфинмониторинга, если иное не предусмотрено иными нормативными правовыми актами, регламентирующими представление информации, указанной в пунктах 3 – 6 Особенностей.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Выявленное нарушение: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соблюдены требования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применению изменений в описании структур наименования, служебной и информационной частей ФЭС и описании кодов признаков, указывающих на необычный характер операций (сде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лок), по истечении не менее 10 календарных дней со дня их размещения на официальном сайте Росфинмониторинга, если иное не предусмотрено иными нормативными правовыми актами, регламентирующими представление информации, указанной в пунктах 3 – 6 Особенностей.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Вышеуказанное свидетельствует о нарушении аудиторскими организациями требований, установленных законодательством о ПОД/ФТ/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ФРОМУ, в части уведомления Федеральной службы по финансовому мониторингу о сделках и финансовых операциях аудируемых лиц.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r/>
      <w:r/>
    </w:p>
    <w:sectPr>
      <w:headerReference w:type="default" r:id="rId9"/>
      <w:footnotePr/>
      <w:endnotePr/>
      <w:type w:val="nextPage"/>
      <w:pgSz w:w="16838" w:h="11905" w:orient="landscape"/>
      <w:pgMar w:top="1276" w:right="1134" w:bottom="85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78678291"/>
      <w:docPartObj>
        <w:docPartGallery w:val="Page Numbers (Top of Page)"/>
        <w:docPartUnique w:val="true"/>
      </w:docPartObj>
      <w:rPr/>
    </w:sdtPr>
    <w:sdtContent>
      <w:p>
        <w:pPr>
          <w:pStyle w:val="702"/>
          <w:jc w:val="center"/>
        </w:pPr>
        <w:r/>
        <w:r/>
      </w:p>
      <w:p>
        <w:pPr>
          <w:pStyle w:val="70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  <w:p>
        <w:pPr>
          <w:pStyle w:val="70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32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7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7"/>
    <w:next w:val="69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7"/>
    <w:next w:val="69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7"/>
    <w:next w:val="69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7"/>
    <w:next w:val="69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7"/>
    <w:next w:val="69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7"/>
    <w:next w:val="69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7"/>
    <w:next w:val="69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7"/>
    <w:next w:val="69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7"/>
    <w:next w:val="69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7"/>
    <w:next w:val="69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8"/>
    <w:link w:val="34"/>
    <w:uiPriority w:val="10"/>
    <w:rPr>
      <w:sz w:val="48"/>
      <w:szCs w:val="48"/>
    </w:rPr>
  </w:style>
  <w:style w:type="paragraph" w:styleId="36">
    <w:name w:val="Subtitle"/>
    <w:basedOn w:val="697"/>
    <w:next w:val="69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8"/>
    <w:link w:val="36"/>
    <w:uiPriority w:val="11"/>
    <w:rPr>
      <w:sz w:val="24"/>
      <w:szCs w:val="24"/>
    </w:rPr>
  </w:style>
  <w:style w:type="paragraph" w:styleId="38">
    <w:name w:val="Quote"/>
    <w:basedOn w:val="697"/>
    <w:next w:val="69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7"/>
    <w:next w:val="69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8"/>
    <w:link w:val="702"/>
    <w:uiPriority w:val="99"/>
  </w:style>
  <w:style w:type="character" w:styleId="45">
    <w:name w:val="Footer Char"/>
    <w:basedOn w:val="698"/>
    <w:link w:val="704"/>
    <w:uiPriority w:val="99"/>
  </w:style>
  <w:style w:type="paragraph" w:styleId="46">
    <w:name w:val="Caption"/>
    <w:basedOn w:val="697"/>
    <w:next w:val="69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8"/>
    <w:uiPriority w:val="99"/>
    <w:unhideWhenUsed/>
    <w:rPr>
      <w:vertAlign w:val="superscript"/>
    </w:rPr>
  </w:style>
  <w:style w:type="paragraph" w:styleId="178">
    <w:name w:val="endnote text"/>
    <w:basedOn w:val="69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8"/>
    <w:uiPriority w:val="99"/>
    <w:semiHidden/>
    <w:unhideWhenUsed/>
    <w:rPr>
      <w:vertAlign w:val="superscript"/>
    </w:rPr>
  </w:style>
  <w:style w:type="paragraph" w:styleId="181">
    <w:name w:val="toc 1"/>
    <w:basedOn w:val="697"/>
    <w:next w:val="69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7"/>
    <w:next w:val="69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7"/>
    <w:next w:val="69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7"/>
    <w:next w:val="69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7"/>
    <w:next w:val="69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7"/>
    <w:next w:val="69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7"/>
    <w:next w:val="69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7"/>
    <w:next w:val="69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7"/>
    <w:next w:val="69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7"/>
    <w:next w:val="697"/>
    <w:uiPriority w:val="99"/>
    <w:unhideWhenUsed/>
    <w:pPr>
      <w:spacing w:after="0" w:afterAutospacing="0"/>
    </w:pPr>
  </w:style>
  <w:style w:type="paragraph" w:styleId="697" w:default="1">
    <w:name w:val="Normal"/>
    <w:qFormat/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paragraph" w:styleId="701">
    <w:name w:val="List Paragraph"/>
    <w:basedOn w:val="697"/>
    <w:uiPriority w:val="34"/>
    <w:qFormat/>
    <w:pPr>
      <w:contextualSpacing/>
      <w:ind w:left="720"/>
    </w:pPr>
  </w:style>
  <w:style w:type="paragraph" w:styleId="702">
    <w:name w:val="Header"/>
    <w:basedOn w:val="697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Верхний колонтитул Знак"/>
    <w:basedOn w:val="698"/>
    <w:link w:val="702"/>
    <w:uiPriority w:val="99"/>
  </w:style>
  <w:style w:type="paragraph" w:styleId="704">
    <w:name w:val="Footer"/>
    <w:basedOn w:val="697"/>
    <w:link w:val="7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5" w:customStyle="1">
    <w:name w:val="Нижний колонтитул Знак"/>
    <w:basedOn w:val="698"/>
    <w:link w:val="704"/>
    <w:uiPriority w:val="99"/>
  </w:style>
  <w:style w:type="character" w:styleId="706">
    <w:name w:val="annotation reference"/>
    <w:basedOn w:val="698"/>
    <w:uiPriority w:val="99"/>
    <w:semiHidden/>
    <w:unhideWhenUsed/>
    <w:rPr>
      <w:sz w:val="16"/>
      <w:szCs w:val="16"/>
    </w:rPr>
  </w:style>
  <w:style w:type="paragraph" w:styleId="707">
    <w:name w:val="annotation text"/>
    <w:basedOn w:val="697"/>
    <w:link w:val="70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08" w:customStyle="1">
    <w:name w:val="Текст примечания Знак"/>
    <w:basedOn w:val="698"/>
    <w:link w:val="707"/>
    <w:uiPriority w:val="99"/>
    <w:semiHidden/>
    <w:rPr>
      <w:sz w:val="20"/>
      <w:szCs w:val="20"/>
    </w:rPr>
  </w:style>
  <w:style w:type="paragraph" w:styleId="709">
    <w:name w:val="annotation subject"/>
    <w:basedOn w:val="707"/>
    <w:next w:val="707"/>
    <w:link w:val="710"/>
    <w:uiPriority w:val="99"/>
    <w:semiHidden/>
    <w:unhideWhenUsed/>
    <w:rPr>
      <w:b/>
      <w:bCs/>
    </w:rPr>
  </w:style>
  <w:style w:type="character" w:styleId="710" w:customStyle="1">
    <w:name w:val="Тема примечания Знак"/>
    <w:basedOn w:val="708"/>
    <w:link w:val="709"/>
    <w:uiPriority w:val="99"/>
    <w:semiHidden/>
    <w:rPr>
      <w:b/>
      <w:bCs/>
      <w:sz w:val="20"/>
      <w:szCs w:val="20"/>
    </w:rPr>
  </w:style>
  <w:style w:type="paragraph" w:styleId="711">
    <w:name w:val="Balloon Text"/>
    <w:basedOn w:val="697"/>
    <w:link w:val="71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12" w:customStyle="1">
    <w:name w:val="Текст выноски Знак"/>
    <w:basedOn w:val="698"/>
    <w:link w:val="711"/>
    <w:uiPriority w:val="99"/>
    <w:semiHidden/>
    <w:rPr>
      <w:rFonts w:ascii="Segoe UI" w:hAnsi="Segoe UI" w:cs="Segoe UI"/>
      <w:sz w:val="18"/>
      <w:szCs w:val="18"/>
    </w:rPr>
  </w:style>
  <w:style w:type="character" w:styleId="713">
    <w:name w:val="Hyperlink"/>
    <w:basedOn w:val="698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LAW&amp;n=45178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462DE-7592-4E52-AD52-A7021F4B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Наврузова Санура Ханахмедовна</dc:creator>
  <cp:keywords/>
  <dc:description/>
  <cp:lastModifiedBy>Романов Владимир Павлович</cp:lastModifiedBy>
  <cp:revision>6</cp:revision>
  <dcterms:created xsi:type="dcterms:W3CDTF">2026-01-29T13:44:00Z</dcterms:created>
  <dcterms:modified xsi:type="dcterms:W3CDTF">2026-02-02T09:39:40Z</dcterms:modified>
</cp:coreProperties>
</file>